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ind w:left="2835" w:right="0" w:firstLine="0"/>
        <w:rPr>
          <w:rFonts w:ascii="Campton Light" w:cs="Campton Light" w:eastAsia="Campton Light" w:hAnsi="Campton Light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ind w:left="2835" w:right="0" w:firstLine="0"/>
        <w:rPr>
          <w:rFonts w:ascii="Campton Light" w:cs="Campton Light" w:eastAsia="Campton Light" w:hAnsi="Campton Light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center"/>
        <w:rPr>
          <w:rFonts w:ascii="Open Sans" w:cs="Open Sans" w:eastAsia="Open Sans" w:hAnsi="Open Sans"/>
          <w:b w:val="1"/>
        </w:rPr>
      </w:pPr>
      <w:r w:rsidDel="00000000" w:rsidR="00000000" w:rsidRPr="00000000">
        <w:rPr>
          <w:rFonts w:ascii="Open Sans" w:cs="Open Sans" w:eastAsia="Open Sans" w:hAnsi="Open Sans"/>
          <w:b w:val="1"/>
          <w:rtl w:val="0"/>
        </w:rPr>
        <w:t xml:space="preserve">COSMOLITE</w:t>
      </w:r>
      <w:r w:rsidDel="00000000" w:rsidR="00000000" w:rsidRPr="00000000">
        <w:rPr>
          <w:rFonts w:ascii="Open Sans" w:cs="Open Sans" w:eastAsia="Open Sans" w:hAnsi="Open Sans"/>
          <w:b w:val="1"/>
          <w:vertAlign w:val="superscript"/>
          <w:rtl w:val="0"/>
        </w:rPr>
        <w:t xml:space="preserve">®</w:t>
      </w:r>
      <w:r w:rsidDel="00000000" w:rsidR="00000000" w:rsidRPr="00000000">
        <w:rPr>
          <w:rFonts w:ascii="Open Sans" w:cs="Open Sans" w:eastAsia="Open Sans" w:hAnsi="Open Sans"/>
          <w:b w:val="1"/>
          <w:rtl w:val="0"/>
        </w:rPr>
        <w:t xml:space="preserve"> X CONVEY: ALLA MILANO DESIGN WEEK LA NUOVA ONDA DEL DESIGN SCEGLIE IL GREEN</w:t>
      </w:r>
    </w:p>
    <w:p w:rsidR="00000000" w:rsidDel="00000000" w:rsidP="00000000" w:rsidRDefault="00000000" w:rsidRPr="00000000" w14:paraId="00000004">
      <w:pPr>
        <w:rPr>
          <w:rFonts w:ascii="Open Sans" w:cs="Open Sans" w:eastAsia="Open Sans" w:hAnsi="Open Sans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both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i w:val="1"/>
          <w:sz w:val="18"/>
          <w:szCs w:val="18"/>
          <w:rtl w:val="0"/>
        </w:rPr>
        <w:t xml:space="preserve">Aprile 2023</w:t>
      </w:r>
      <w:r w:rsidDel="00000000" w:rsidR="00000000" w:rsidRPr="00000000">
        <w:rPr>
          <w:rFonts w:ascii="Open Sans" w:cs="Open Sans" w:eastAsia="Open Sans" w:hAnsi="Open Sans"/>
          <w:i w:val="1"/>
          <w:sz w:val="22"/>
          <w:szCs w:val="22"/>
          <w:rtl w:val="0"/>
        </w:rPr>
        <w:t xml:space="preserve"> -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È di nuovo </w:t>
      </w:r>
      <w:r w:rsidDel="00000000" w:rsidR="00000000" w:rsidRPr="00000000">
        <w:rPr>
          <w:rFonts w:ascii="Open Sans" w:cs="Open Sans" w:eastAsia="Open Sans" w:hAnsi="Open Sans"/>
          <w:b w:val="1"/>
          <w:i w:val="1"/>
          <w:sz w:val="20"/>
          <w:szCs w:val="20"/>
          <w:rtl w:val="0"/>
        </w:rPr>
        <w:t xml:space="preserve">design-mania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 a Milano. </w:t>
      </w:r>
    </w:p>
    <w:p w:rsidR="00000000" w:rsidDel="00000000" w:rsidP="00000000" w:rsidRDefault="00000000" w:rsidRPr="00000000" w14:paraId="00000006">
      <w:pPr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Mentre al polo fieristico di Rho va in scena la 61esima edizione del Salone del Mobile, in città si assiste a una ventata di creatività alimentata da un ricchissimo carnet di eventi che animano gli showroom e gli spazi dedicati al design. A questi si unisce quest’anno anche il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BasicVillage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, uno spazio di oltre 1.000 mq all’interno di un edificio industriale riqualificato in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zona Farini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che apre le porte alla nuova “</w:t>
      </w:r>
      <w:r w:rsidDel="00000000" w:rsidR="00000000" w:rsidRPr="00000000">
        <w:rPr>
          <w:rFonts w:ascii="Open Sans" w:cs="Open Sans" w:eastAsia="Open Sans" w:hAnsi="Open Sans"/>
          <w:i w:val="1"/>
          <w:sz w:val="20"/>
          <w:szCs w:val="20"/>
          <w:rtl w:val="0"/>
        </w:rPr>
        <w:t xml:space="preserve">wave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” del design contemporaneo. </w:t>
      </w:r>
    </w:p>
    <w:p w:rsidR="00000000" w:rsidDel="00000000" w:rsidP="00000000" w:rsidRDefault="00000000" w:rsidRPr="00000000" w14:paraId="00000007">
      <w:pPr>
        <w:jc w:val="both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Qui, infatti, debutterà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Convey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, il progetto curato da Simple Flair e promosso da Very Simple Kitchen che, attraverso la selezione di brand che condividono valori e community, si pone l’obiettivo di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intercettare e contribuire alla costruzione di un nuovo scenario del design internazionale. </w:t>
      </w:r>
    </w:p>
    <w:p w:rsidR="00000000" w:rsidDel="00000000" w:rsidP="00000000" w:rsidRDefault="00000000" w:rsidRPr="00000000" w14:paraId="00000008">
      <w:pPr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jc w:val="both"/>
        <w:rPr>
          <w:rFonts w:ascii="Open Sans" w:cs="Open Sans" w:eastAsia="Open Sans" w:hAnsi="Open Sans"/>
          <w:b w:val="1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E se di novità di design si parla,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Stone Italiana risponde con Cosmolite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vertAlign w:val="superscript"/>
          <w:rtl w:val="0"/>
        </w:rPr>
        <w:t xml:space="preserve">®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, che porta nel mondo della progettazione la sua eclettica estetica </w:t>
      </w:r>
      <w:r w:rsidDel="00000000" w:rsidR="00000000" w:rsidRPr="00000000">
        <w:rPr>
          <w:rFonts w:ascii="Open Sans" w:cs="Open Sans" w:eastAsia="Open Sans" w:hAnsi="Open Sans"/>
          <w:i w:val="1"/>
          <w:sz w:val="20"/>
          <w:szCs w:val="20"/>
          <w:rtl w:val="0"/>
        </w:rPr>
        <w:t xml:space="preserve">green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. Individuata come elemento ideale per alcuni degli spazi comuni,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Cosmolite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vertAlign w:val="superscript"/>
          <w:rtl w:val="0"/>
        </w:rPr>
        <w:t xml:space="preserve">®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 arreda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panche, gradinate, tavoli e sedute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delle zone conviviali esterne e del ristorante, che si ritrovano così a parlare il linguaggio di una Materia Nuova e sostenibile, composta interamente da inerti da riciclo pre-consumo. A riprova della sua anima eclettica e altamente performante, Cosmolite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vertAlign w:val="superscript"/>
          <w:rtl w:val="0"/>
        </w:rPr>
        <w:t xml:space="preserve">®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 trova la sua massima espressione anche come top cucina nello showroom Very Simple Kitchen.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Resistente e di design, il top in Cosmolite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vertAlign w:val="superscript"/>
          <w:rtl w:val="0"/>
        </w:rPr>
        <w:t xml:space="preserve">®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 non si graffia, non si macchia, è igienicamente testato ed è idoneo al contatto con gli alimenti.</w:t>
      </w:r>
    </w:p>
    <w:p w:rsidR="00000000" w:rsidDel="00000000" w:rsidP="00000000" w:rsidRDefault="00000000" w:rsidRPr="00000000" w14:paraId="0000000A">
      <w:pPr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line="276" w:lineRule="auto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Sono in particolare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quattro le collezioni che arredano le aree Convey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in chiave eco-friendly. Tra queste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Venantis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- la serie caratterizzata da una vena passante sottile che percorre tutta la superficie della lastra e che conferisce continuità di disegno ed estetica al prodotto finale - con le nuance Green Artemis e Grey Argo e </w:t>
      </w:r>
    </w:p>
    <w:p w:rsidR="00000000" w:rsidDel="00000000" w:rsidP="00000000" w:rsidRDefault="00000000" w:rsidRPr="00000000" w14:paraId="0000000C">
      <w:pPr>
        <w:spacing w:line="276" w:lineRule="auto"/>
        <w:jc w:val="both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K-Star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, la cui texture, caratterizzata da un’estetica “a graniglia”, la rende ideale per top cucina, mobili e ante. E poi ancora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Meteor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, nel colore Meteor Cold; 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Cosmo, il capostipite della linea Cosmolite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vertAlign w:val="superscript"/>
          <w:rtl w:val="0"/>
        </w:rPr>
        <w:t xml:space="preserve">®</w:t>
      </w:r>
      <w:r w:rsidDel="00000000" w:rsidR="00000000" w:rsidRPr="00000000">
        <w:rPr>
          <w:rFonts w:ascii="Open Sans" w:cs="Open Sans" w:eastAsia="Open Sans" w:hAnsi="Open Sans"/>
          <w:b w:val="1"/>
          <w:sz w:val="20"/>
          <w:szCs w:val="20"/>
          <w:rtl w:val="0"/>
        </w:rPr>
        <w:t xml:space="preserve">, </w:t>
      </w: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utilizzato nella caratteristica texture black&amp;white Cosmo e verde Mint. </w:t>
      </w:r>
    </w:p>
    <w:p w:rsidR="00000000" w:rsidDel="00000000" w:rsidP="00000000" w:rsidRDefault="00000000" w:rsidRPr="00000000" w14:paraId="0000000D">
      <w:pPr>
        <w:spacing w:line="276" w:lineRule="auto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line="276" w:lineRule="auto"/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Fonts w:ascii="Open Sans" w:cs="Open Sans" w:eastAsia="Open Sans" w:hAnsi="Open Sans"/>
          <w:sz w:val="20"/>
          <w:szCs w:val="20"/>
          <w:rtl w:val="0"/>
        </w:rPr>
        <w:t xml:space="preserve">Un Universo di materia nuova, dedicata a chi guarda al design del futuro. </w:t>
      </w:r>
    </w:p>
    <w:p w:rsidR="00000000" w:rsidDel="00000000" w:rsidP="00000000" w:rsidRDefault="00000000" w:rsidRPr="00000000" w14:paraId="0000000F">
      <w:pPr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rPr>
          <w:rFonts w:ascii="Open Sans" w:cs="Open Sans" w:eastAsia="Open Sans" w:hAnsi="Open Sans"/>
          <w:sz w:val="20"/>
          <w:szCs w:val="20"/>
        </w:rPr>
      </w:pPr>
      <w:r w:rsidDel="00000000" w:rsidR="00000000" w:rsidRPr="00000000">
        <w:pict>
          <v:rect style="width:0.0pt;height:1.5pt" o:hr="t" o:hrstd="t" o:hralign="center" fillcolor="#A0A0A0" stroked="f"/>
        </w:pic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rPr>
          <w:rFonts w:ascii="Open Sans" w:cs="Open Sans" w:eastAsia="Open Sans" w:hAnsi="Open Sans"/>
          <w:sz w:val="18"/>
          <w:szCs w:val="1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ind w:right="-171"/>
        <w:rPr>
          <w:rFonts w:ascii="Open Sans" w:cs="Open Sans" w:eastAsia="Open Sans" w:hAnsi="Open Sans"/>
          <w:b w:val="1"/>
          <w:sz w:val="18"/>
          <w:szCs w:val="18"/>
        </w:rPr>
      </w:pPr>
      <w:r w:rsidDel="00000000" w:rsidR="00000000" w:rsidRPr="00000000">
        <w:rPr>
          <w:rFonts w:ascii="Open Sans" w:cs="Open Sans" w:eastAsia="Open Sans" w:hAnsi="Open Sans"/>
          <w:b w:val="1"/>
          <w:sz w:val="18"/>
          <w:szCs w:val="18"/>
          <w:rtl w:val="0"/>
        </w:rPr>
        <w:t xml:space="preserve">UFFICIO STAMPA STONE ITALIANA</w:t>
      </w:r>
    </w:p>
    <w:p w:rsidR="00000000" w:rsidDel="00000000" w:rsidP="00000000" w:rsidRDefault="00000000" w:rsidRPr="00000000" w14:paraId="00000013">
      <w:pPr>
        <w:ind w:right="-171"/>
        <w:rPr>
          <w:rFonts w:ascii="Open Sans" w:cs="Open Sans" w:eastAsia="Open Sans" w:hAnsi="Open Sans"/>
          <w:sz w:val="18"/>
          <w:szCs w:val="18"/>
          <w:u w:val="single"/>
        </w:rPr>
      </w:pPr>
      <w:r w:rsidDel="00000000" w:rsidR="00000000" w:rsidRPr="00000000">
        <w:rPr>
          <w:rFonts w:ascii="Open Sans" w:cs="Open Sans" w:eastAsia="Open Sans" w:hAnsi="Open Sans"/>
          <w:sz w:val="18"/>
          <w:szCs w:val="18"/>
          <w:u w:val="single"/>
          <w:rtl w:val="0"/>
        </w:rPr>
        <w:t xml:space="preserve">Caterina Ricci</w:t>
      </w:r>
    </w:p>
    <w:p w:rsidR="00000000" w:rsidDel="00000000" w:rsidP="00000000" w:rsidRDefault="00000000" w:rsidRPr="00000000" w14:paraId="00000014">
      <w:pPr>
        <w:ind w:right="-171"/>
        <w:rPr>
          <w:rFonts w:ascii="Open Sans" w:cs="Open Sans" w:eastAsia="Open Sans" w:hAnsi="Open Sans"/>
          <w:sz w:val="18"/>
          <w:szCs w:val="18"/>
        </w:rPr>
      </w:pPr>
      <w:r w:rsidDel="00000000" w:rsidR="00000000" w:rsidRPr="00000000">
        <w:rPr>
          <w:rFonts w:ascii="Open Sans" w:cs="Open Sans" w:eastAsia="Open Sans" w:hAnsi="Open Sans"/>
          <w:sz w:val="18"/>
          <w:szCs w:val="18"/>
          <w:rtl w:val="0"/>
        </w:rPr>
        <w:t xml:space="preserve">+39 351 7605493</w:t>
      </w:r>
    </w:p>
    <w:p w:rsidR="00000000" w:rsidDel="00000000" w:rsidP="00000000" w:rsidRDefault="00000000" w:rsidRPr="00000000" w14:paraId="00000015">
      <w:pPr>
        <w:ind w:right="-171"/>
        <w:rPr>
          <w:rFonts w:ascii="Open Sans" w:cs="Open Sans" w:eastAsia="Open Sans" w:hAnsi="Open Sans"/>
          <w:sz w:val="18"/>
          <w:szCs w:val="18"/>
        </w:rPr>
      </w:pPr>
      <w:hyperlink r:id="rId7">
        <w:r w:rsidDel="00000000" w:rsidR="00000000" w:rsidRPr="00000000">
          <w:rPr>
            <w:rFonts w:ascii="Open Sans" w:cs="Open Sans" w:eastAsia="Open Sans" w:hAnsi="Open Sans"/>
            <w:sz w:val="18"/>
            <w:szCs w:val="18"/>
            <w:rtl w:val="0"/>
          </w:rPr>
          <w:t xml:space="preserve">caterina.ricci@synesthesia.it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ind w:right="-171"/>
        <w:rPr>
          <w:rFonts w:ascii="Open Sans" w:cs="Open Sans" w:eastAsia="Open Sans" w:hAnsi="Open Sans"/>
          <w:sz w:val="20"/>
          <w:szCs w:val="20"/>
        </w:rPr>
      </w:pPr>
      <w:hyperlink r:id="rId8">
        <w:r w:rsidDel="00000000" w:rsidR="00000000" w:rsidRPr="00000000">
          <w:rPr>
            <w:rFonts w:ascii="Open Sans" w:cs="Open Sans" w:eastAsia="Open Sans" w:hAnsi="Open Sans"/>
            <w:sz w:val="18"/>
            <w:szCs w:val="18"/>
            <w:rtl w:val="0"/>
          </w:rPr>
          <w:t xml:space="preserve">press@stoneitaliana.com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ind w:left="425.19685039370086" w:right="0" w:firstLine="0"/>
        <w:rPr>
          <w:rFonts w:ascii="Campton Light" w:cs="Campton Light" w:eastAsia="Campton Light" w:hAnsi="Campton Light"/>
          <w:sz w:val="18"/>
          <w:szCs w:val="18"/>
        </w:rPr>
      </w:pPr>
      <w:r w:rsidDel="00000000" w:rsidR="00000000" w:rsidRPr="00000000">
        <w:rPr>
          <w:rtl w:val="0"/>
        </w:rPr>
      </w:r>
    </w:p>
    <w:sectPr>
      <w:headerReference r:id="rId9" w:type="default"/>
      <w:headerReference r:id="rId10" w:type="first"/>
      <w:footerReference r:id="rId11" w:type="default"/>
      <w:footerReference r:id="rId12" w:type="first"/>
      <w:pgSz w:h="16838" w:w="11906" w:orient="portrait"/>
      <w:pgMar w:bottom="680" w:top="354.33070866141736" w:left="680" w:right="680" w:header="793.7007874015749" w:footer="1927.5590551181106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Campton Light"/>
  <w:font w:name="EB Garamond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Campton Book"/>
  <w:font w:name="Liberation Serif"/>
  <w:font w:name="Open Sans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2">
    <w:pPr>
      <w:spacing w:line="288" w:lineRule="auto"/>
      <w:jc w:val="center"/>
      <w:rPr>
        <w:rFonts w:ascii="Campton Book" w:cs="Campton Book" w:eastAsia="Campton Book" w:hAnsi="Campton Book"/>
        <w:b w:val="1"/>
        <w:sz w:val="14"/>
        <w:szCs w:val="1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3">
    <w:pPr>
      <w:spacing w:line="288" w:lineRule="auto"/>
      <w:jc w:val="center"/>
      <w:rPr>
        <w:rFonts w:ascii="Campton Book" w:cs="Campton Book" w:eastAsia="Campton Book" w:hAnsi="Campton Book"/>
        <w:b w:val="1"/>
        <w:sz w:val="14"/>
        <w:szCs w:val="1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4">
    <w:pPr>
      <w:spacing w:line="288" w:lineRule="auto"/>
      <w:jc w:val="left"/>
      <w:rPr>
        <w:rFonts w:ascii="EB Garamond" w:cs="EB Garamond" w:eastAsia="EB Garamond" w:hAnsi="EB Garamond"/>
      </w:rPr>
    </w:pPr>
    <w:r w:rsidDel="00000000" w:rsidR="00000000" w:rsidRPr="00000000">
      <w:rPr>
        <w:rFonts w:ascii="Campton Book" w:cs="Campton Book" w:eastAsia="Campton Book" w:hAnsi="Campton Book"/>
        <w:b w:val="1"/>
        <w:sz w:val="14"/>
        <w:szCs w:val="14"/>
        <w:rtl w:val="0"/>
      </w:rPr>
      <w:t xml:space="preserve">STONE ITALIANA S.P.A.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5">
    <w:pPr>
      <w:spacing w:line="288" w:lineRule="auto"/>
      <w:jc w:val="center"/>
      <w:rPr>
        <w:rFonts w:ascii="Campton Light" w:cs="Campton Light" w:eastAsia="Campton Light" w:hAnsi="Campton Light"/>
        <w:sz w:val="14"/>
        <w:szCs w:val="1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6">
    <w:pPr>
      <w:spacing w:line="288" w:lineRule="auto"/>
      <w:jc w:val="center"/>
      <w:rPr>
        <w:rFonts w:ascii="Campton Light" w:cs="Campton Light" w:eastAsia="Campton Light" w:hAnsi="Campton Light"/>
        <w:sz w:val="14"/>
        <w:szCs w:val="14"/>
      </w:rPr>
    </w:pPr>
    <w:r w:rsidDel="00000000" w:rsidR="00000000" w:rsidRPr="00000000">
      <w:rPr>
        <w:rFonts w:ascii="Campton Light" w:cs="Campton Light" w:eastAsia="Campton Light" w:hAnsi="Campton Light"/>
        <w:sz w:val="14"/>
        <w:szCs w:val="14"/>
        <w:rtl w:val="0"/>
      </w:rPr>
      <w:t xml:space="preserve">Via Lavagno, 213 – 37040 Zimella – Verona Italy – Tel 39.0442 715715 – Fax 39.0442 715000 – stone@stoneitaliana.com – www.stoneitaliana.com</w:t>
    </w:r>
  </w:p>
  <w:p w:rsidR="00000000" w:rsidDel="00000000" w:rsidP="00000000" w:rsidRDefault="00000000" w:rsidRPr="00000000" w14:paraId="00000027">
    <w:pPr>
      <w:spacing w:line="288" w:lineRule="auto"/>
      <w:jc w:val="center"/>
      <w:rPr>
        <w:rFonts w:ascii="Campton Light" w:cs="Campton Light" w:eastAsia="Campton Light" w:hAnsi="Campton Light"/>
        <w:sz w:val="14"/>
        <w:szCs w:val="14"/>
      </w:rPr>
    </w:pPr>
    <w:r w:rsidDel="00000000" w:rsidR="00000000" w:rsidRPr="00000000">
      <w:rPr>
        <w:rFonts w:ascii="Campton Light" w:cs="Campton Light" w:eastAsia="Campton Light" w:hAnsi="Campton Light"/>
        <w:sz w:val="14"/>
        <w:szCs w:val="14"/>
        <w:rtl w:val="0"/>
      </w:rPr>
      <w:t xml:space="preserve">Capitale sociale Euro 10.000.000,00 versato Euro 8.570.099,95 – C.F. e n. Iscrizione Registro Imprese di Verona 00684880230 – P.IVA IT00684880230</w:t>
    </w:r>
  </w:p>
  <w:p w:rsidR="00000000" w:rsidDel="00000000" w:rsidP="00000000" w:rsidRDefault="00000000" w:rsidRPr="00000000" w14:paraId="00000028">
    <w:pPr>
      <w:spacing w:line="288" w:lineRule="auto"/>
      <w:jc w:val="center"/>
      <w:rPr>
        <w:rFonts w:ascii="Campton Light" w:cs="Campton Light" w:eastAsia="Campton Light" w:hAnsi="Campton Light"/>
        <w:sz w:val="14"/>
        <w:szCs w:val="14"/>
      </w:rPr>
    </w:pP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0" distR="0" hidden="0" layoutInCell="1" locked="0" relativeHeight="0" simplePos="0">
          <wp:simplePos x="0" y="0"/>
          <wp:positionH relativeFrom="column">
            <wp:posOffset>325</wp:posOffset>
          </wp:positionH>
          <wp:positionV relativeFrom="paragraph">
            <wp:posOffset>0</wp:posOffset>
          </wp:positionV>
          <wp:extent cx="6696075" cy="758825"/>
          <wp:effectExtent b="0" l="0" r="0" t="0"/>
          <wp:wrapSquare wrapText="bothSides" distB="0" distT="0" distL="0" distR="0"/>
          <wp:docPr id="15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6696075" cy="758825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9">
    <w:pPr>
      <w:spacing w:line="288" w:lineRule="auto"/>
      <w:jc w:val="center"/>
      <w:rPr>
        <w:rFonts w:ascii="EB Garamond" w:cs="EB Garamond" w:eastAsia="EB Garamond" w:hAnsi="EB Garamond"/>
      </w:rPr>
    </w:pPr>
    <w:r w:rsidDel="00000000" w:rsidR="00000000" w:rsidRPr="00000000">
      <w:rPr>
        <w:rFonts w:ascii="Campton Book" w:cs="Campton Book" w:eastAsia="Campton Book" w:hAnsi="Campton Book"/>
        <w:b w:val="1"/>
        <w:sz w:val="14"/>
        <w:szCs w:val="14"/>
        <w:rtl w:val="0"/>
      </w:rPr>
      <w:t xml:space="preserve">STONE ITALIANA S.P.A.</w:t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A">
    <w:pPr>
      <w:spacing w:line="288" w:lineRule="auto"/>
      <w:jc w:val="center"/>
      <w:rPr>
        <w:rFonts w:ascii="Campton Light" w:cs="Campton Light" w:eastAsia="Campton Light" w:hAnsi="Campton Light"/>
        <w:sz w:val="14"/>
        <w:szCs w:val="14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B">
    <w:pPr>
      <w:spacing w:line="288" w:lineRule="auto"/>
      <w:jc w:val="center"/>
      <w:rPr>
        <w:rFonts w:ascii="Campton Light" w:cs="Campton Light" w:eastAsia="Campton Light" w:hAnsi="Campton Light"/>
        <w:sz w:val="14"/>
        <w:szCs w:val="14"/>
      </w:rPr>
    </w:pPr>
    <w:r w:rsidDel="00000000" w:rsidR="00000000" w:rsidRPr="00000000">
      <w:rPr>
        <w:rFonts w:ascii="Campton Light" w:cs="Campton Light" w:eastAsia="Campton Light" w:hAnsi="Campton Light"/>
        <w:sz w:val="14"/>
        <w:szCs w:val="14"/>
        <w:rtl w:val="0"/>
      </w:rPr>
      <w:t xml:space="preserve">Via Lavagno, 213 – 37040 Zimella – Verona Italy – Tel 39.0442 715715 – Fax 39.0442 715000 – stone@stoneitaliana.com – www.stoneitaliana.com</w:t>
    </w:r>
  </w:p>
  <w:p w:rsidR="00000000" w:rsidDel="00000000" w:rsidP="00000000" w:rsidRDefault="00000000" w:rsidRPr="00000000" w14:paraId="0000002C">
    <w:pPr>
      <w:spacing w:line="288" w:lineRule="auto"/>
      <w:jc w:val="center"/>
      <w:rPr/>
    </w:pPr>
    <w:r w:rsidDel="00000000" w:rsidR="00000000" w:rsidRPr="00000000">
      <w:rPr>
        <w:rFonts w:ascii="Campton Light" w:cs="Campton Light" w:eastAsia="Campton Light" w:hAnsi="Campton Light"/>
        <w:sz w:val="14"/>
        <w:szCs w:val="14"/>
        <w:rtl w:val="0"/>
      </w:rPr>
      <w:t xml:space="preserve">Capitale sociale Euro 10.000.000 versato Euro 8.570.099,95 – C.F. e n. Iscrizione Registro Imprese di Verona 00684880230 – P.IVA IT00684880230</w:t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1" distB="0" distT="0" distL="0" distR="0" hidden="0" layoutInCell="1" locked="0" relativeHeight="0" simplePos="0">
          <wp:simplePos x="0" y="0"/>
          <wp:positionH relativeFrom="column">
            <wp:posOffset>162</wp:posOffset>
          </wp:positionH>
          <wp:positionV relativeFrom="paragraph">
            <wp:posOffset>304800</wp:posOffset>
          </wp:positionV>
          <wp:extent cx="6696075" cy="758825"/>
          <wp:effectExtent b="0" l="0" r="0" t="0"/>
          <wp:wrapNone/>
          <wp:docPr id="16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6696075" cy="758825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8">
    <w:pPr>
      <w:spacing w:line="288" w:lineRule="auto"/>
      <w:ind w:left="2835" w:firstLine="0"/>
      <w:rPr>
        <w:rFonts w:ascii="Campton Light" w:cs="Campton Light" w:eastAsia="Campton Light" w:hAnsi="Campton Light"/>
        <w:color w:val="9e001c"/>
        <w:sz w:val="18"/>
        <w:szCs w:val="18"/>
      </w:rPr>
    </w:pPr>
    <w:r w:rsidDel="00000000" w:rsidR="00000000" w:rsidRPr="00000000">
      <w:rPr>
        <w:rFonts w:ascii="Campton Light" w:cs="Campton Light" w:eastAsia="Campton Light" w:hAnsi="Campton Light"/>
        <w:color w:val="9e001c"/>
        <w:sz w:val="18"/>
        <w:szCs w:val="18"/>
        <w:rtl w:val="0"/>
      </w:rPr>
      <w:t xml:space="preserve">DAL 1979 TECNOLOGIA E DESIGN DEL QUARZO</w:t>
    </w:r>
    <w:r w:rsidDel="00000000" w:rsidR="00000000" w:rsidRPr="00000000">
      <w:drawing>
        <wp:anchor allowOverlap="1" behindDoc="0" distB="0" distT="0" distL="0" distR="0" hidden="0" layoutInCell="1" locked="0" relativeHeight="0" simplePos="0">
          <wp:simplePos x="0" y="0"/>
          <wp:positionH relativeFrom="column">
            <wp:posOffset>0</wp:posOffset>
          </wp:positionH>
          <wp:positionV relativeFrom="paragraph">
            <wp:posOffset>635</wp:posOffset>
          </wp:positionV>
          <wp:extent cx="1090930" cy="1115695"/>
          <wp:effectExtent b="0" l="0" r="0" t="0"/>
          <wp:wrapSquare wrapText="bothSides" distB="0" distT="0" distL="0" distR="0"/>
          <wp:docPr id="17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090930" cy="1115695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19">
    <w:pPr>
      <w:spacing w:line="288" w:lineRule="auto"/>
      <w:ind w:left="2835" w:firstLine="0"/>
      <w:rPr>
        <w:rFonts w:ascii="Campton Light" w:cs="Campton Light" w:eastAsia="Campton Light" w:hAnsi="Campton Light"/>
        <w:sz w:val="18"/>
        <w:szCs w:val="18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A">
    <w:pPr>
      <w:spacing w:line="288" w:lineRule="auto"/>
      <w:ind w:left="2835" w:firstLine="0"/>
      <w:rPr>
        <w:rFonts w:ascii="Campton Light" w:cs="Campton Light" w:eastAsia="Campton Light" w:hAnsi="Campton Light"/>
        <w:sz w:val="18"/>
        <w:szCs w:val="18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B">
    <w:pPr>
      <w:rPr/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C">
    <w:pPr>
      <w:rPr/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1D">
    <w:pPr>
      <w:spacing w:line="288" w:lineRule="auto"/>
      <w:ind w:left="1440" w:firstLine="720"/>
      <w:jc w:val="left"/>
      <w:rPr>
        <w:rFonts w:ascii="Campton Light" w:cs="Campton Light" w:eastAsia="Campton Light" w:hAnsi="Campton Light"/>
        <w:color w:val="9e001c"/>
        <w:sz w:val="18"/>
        <w:szCs w:val="18"/>
      </w:rPr>
    </w:pPr>
    <w:r w:rsidDel="00000000" w:rsidR="00000000" w:rsidRPr="00000000">
      <w:rPr>
        <w:rFonts w:ascii="Campton Light" w:cs="Campton Light" w:eastAsia="Campton Light" w:hAnsi="Campton Light"/>
        <w:color w:val="9e001c"/>
        <w:sz w:val="18"/>
        <w:szCs w:val="18"/>
      </w:rPr>
      <w:drawing>
        <wp:anchor allowOverlap="1" behindDoc="0" distB="0" distT="0" distL="0" distR="0" hidden="0" layoutInCell="1" locked="0" relativeHeight="0" simplePos="0">
          <wp:simplePos x="0" y="0"/>
          <wp:positionH relativeFrom="page">
            <wp:posOffset>574675</wp:posOffset>
          </wp:positionH>
          <wp:positionV relativeFrom="page">
            <wp:posOffset>389700</wp:posOffset>
          </wp:positionV>
          <wp:extent cx="885825" cy="910431"/>
          <wp:effectExtent b="0" l="0" r="0" t="0"/>
          <wp:wrapNone/>
          <wp:docPr id="19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885825" cy="910431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Fonts w:ascii="Campton Light" w:cs="Campton Light" w:eastAsia="Campton Light" w:hAnsi="Campton Light"/>
        <w:color w:val="9e001c"/>
        <w:sz w:val="18"/>
        <w:szCs w:val="18"/>
        <w:rtl w:val="0"/>
      </w:rPr>
      <w:t xml:space="preserve">DAL 1979 TECNOLOGIA E DESIGN DELLE SUPERFICI</w:t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5781675</wp:posOffset>
          </wp:positionH>
          <wp:positionV relativeFrom="paragraph">
            <wp:posOffset>-114296</wp:posOffset>
          </wp:positionV>
          <wp:extent cx="914400" cy="914400"/>
          <wp:effectExtent b="0" l="0" r="0" t="0"/>
          <wp:wrapNone/>
          <wp:docPr id="18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914400" cy="914400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1E">
    <w:pPr>
      <w:rPr>
        <w:rFonts w:ascii="Campton Light" w:cs="Campton Light" w:eastAsia="Campton Light" w:hAnsi="Campton Light"/>
        <w:sz w:val="18"/>
        <w:szCs w:val="18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1F">
    <w:pPr>
      <w:spacing w:line="288" w:lineRule="auto"/>
      <w:ind w:left="0" w:firstLine="0"/>
      <w:rPr>
        <w:rFonts w:ascii="Campton Light" w:cs="Campton Light" w:eastAsia="Campton Light" w:hAnsi="Campton Light"/>
        <w:sz w:val="18"/>
        <w:szCs w:val="18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0">
    <w:pPr>
      <w:spacing w:line="288" w:lineRule="auto"/>
      <w:ind w:left="0" w:firstLine="0"/>
      <w:rPr>
        <w:rFonts w:ascii="Campton Light" w:cs="Campton Light" w:eastAsia="Campton Light" w:hAnsi="Campton Light"/>
        <w:sz w:val="18"/>
        <w:szCs w:val="18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21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Liberation Serif" w:cs="Liberation Serif" w:eastAsia="Liberation Serif" w:hAnsi="Liberation Serif"/>
        <w:sz w:val="24"/>
        <w:szCs w:val="24"/>
        <w:lang w:val="it-IT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48"/>
      <w:szCs w:val="48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footer" Target="footer2.xml"/><Relationship Id="rId10" Type="http://schemas.openxmlformats.org/officeDocument/2006/relationships/header" Target="header1.xml"/><Relationship Id="rId12" Type="http://schemas.openxmlformats.org/officeDocument/2006/relationships/footer" Target="footer1.xml"/><Relationship Id="rId9" Type="http://schemas.openxmlformats.org/officeDocument/2006/relationships/header" Target="header2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hyperlink" Target="mailto:caterina.ricci@synesthesia.it" TargetMode="External"/><Relationship Id="rId8" Type="http://schemas.openxmlformats.org/officeDocument/2006/relationships/hyperlink" Target="mailto:press@stoneitaliana.com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EBGaramond-regular.ttf"/><Relationship Id="rId2" Type="http://schemas.openxmlformats.org/officeDocument/2006/relationships/font" Target="fonts/EBGaramond-bold.ttf"/><Relationship Id="rId3" Type="http://schemas.openxmlformats.org/officeDocument/2006/relationships/font" Target="fonts/EBGaramond-italic.ttf"/><Relationship Id="rId4" Type="http://schemas.openxmlformats.org/officeDocument/2006/relationships/font" Target="fonts/EBGaramond-boldItalic.ttf"/><Relationship Id="rId5" Type="http://schemas.openxmlformats.org/officeDocument/2006/relationships/font" Target="fonts/OpenSans-regular.ttf"/><Relationship Id="rId6" Type="http://schemas.openxmlformats.org/officeDocument/2006/relationships/font" Target="fonts/OpenSans-bold.ttf"/><Relationship Id="rId7" Type="http://schemas.openxmlformats.org/officeDocument/2006/relationships/font" Target="fonts/OpenSans-italic.ttf"/><Relationship Id="rId8" Type="http://schemas.openxmlformats.org/officeDocument/2006/relationships/font" Target="fonts/OpenSans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_rels/footer2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Relationship Id="rId2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hDehlIV/vy3igEEpn2JDHV2Y/Zhw==">AMUW2mXu80X25WTnde0Q1hxrcKp6ju/mbymagCYY76X9GwjtD19T91dmk21z4ohVv4/IHXc4BSJ5tYs4Y4/ReKrJ6BVMiqrWa0+LvNe/uYYSf4ujq222JFM=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